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9BFA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503757</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0C560141">
      <w:pPr>
        <w:tabs>
          <w:tab w:val="left" w:pos="1985"/>
        </w:tabs>
        <w:rPr>
          <w:rFonts w:ascii="Times New Roman" w:hAnsi="Times New Roman"/>
          <w:b/>
          <w:sz w:val="22"/>
          <w:highlight w:val="none"/>
        </w:rPr>
      </w:pPr>
    </w:p>
    <w:p w14:paraId="59468D55">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27</w:t>
      </w:r>
      <w:r>
        <w:rPr>
          <w:rFonts w:hint="eastAsia" w:ascii="Times New Roman" w:hAnsi="Times New Roman"/>
          <w:sz w:val="22"/>
          <w:highlight w:val="none"/>
        </w:rPr>
        <w:t>.</w:t>
      </w:r>
      <w:r>
        <w:rPr>
          <w:rFonts w:hint="eastAsia" w:ascii="Times New Roman" w:hAnsi="Times New Roman"/>
          <w:sz w:val="22"/>
          <w:highlight w:val="none"/>
          <w:lang w:val="en-US" w:eastAsia="zh-CN"/>
        </w:rPr>
        <w:t>2.1</w:t>
      </w:r>
    </w:p>
    <w:p w14:paraId="1F1B280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5D3DC2C7">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event triggered L1 measurement reporting</w:t>
      </w:r>
    </w:p>
    <w:bookmarkEnd w:id="4"/>
    <w:bookmarkEnd w:id="5"/>
    <w:p w14:paraId="58A2DA4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41F9F1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bookmarkStart w:id="8" w:name="_GoBack"/>
      <w:bookmarkEnd w:id="8"/>
      <w:r>
        <w:rPr>
          <w:rFonts w:ascii="Times New Roman" w:hAnsi="Times New Roman"/>
          <w:b w:val="0"/>
          <w:bCs w:val="0"/>
          <w:kern w:val="0"/>
          <w:sz w:val="36"/>
          <w:szCs w:val="36"/>
          <w:lang w:val="en-GB"/>
        </w:rPr>
        <w:t>Introduction</w:t>
      </w:r>
    </w:p>
    <w:p w14:paraId="772C029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#107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7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26186E9">
            <w:pPr>
              <w:numPr>
                <w:ilvl w:val="0"/>
                <w:numId w:val="3"/>
              </w:numPr>
              <w:spacing w:after="0"/>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5FA70F8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event triggered L1 measurement reporting</w:t>
      </w:r>
      <w:r>
        <w:rPr>
          <w:rFonts w:hint="eastAsia" w:ascii="Times New Roman" w:hAnsi="Times New Roman"/>
          <w:sz w:val="20"/>
          <w:szCs w:val="20"/>
        </w:rPr>
        <w:t>.</w:t>
      </w:r>
    </w:p>
    <w:p w14:paraId="5708A40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4E54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A5393C0">
            <w:pPr>
              <w:pStyle w:val="5"/>
              <w:numPr>
                <w:ilvl w:val="0"/>
                <w:numId w:val="0"/>
              </w:numPr>
              <w:tabs>
                <w:tab w:val="left" w:pos="432"/>
                <w:tab w:val="clear" w:pos="864"/>
              </w:tabs>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2-2: Event triggered reporting delay for L1 reporting</w:t>
            </w:r>
          </w:p>
          <w:p w14:paraId="7074341D">
            <w:pPr>
              <w:spacing w:after="120"/>
              <w:rPr>
                <w:rFonts w:hint="default" w:ascii="Times New Roman" w:hAnsi="Times New Roman" w:cs="Times New Roman"/>
                <w:b/>
                <w:bCs/>
                <w:color w:val="000000" w:themeColor="text1"/>
                <w:sz w:val="20"/>
                <w:szCs w:val="20"/>
                <w:lang w:val="en-US"/>
                <w14:textFill>
                  <w14:solidFill>
                    <w14:schemeClr w14:val="tx1"/>
                  </w14:solidFill>
                </w14:textFill>
              </w:rPr>
            </w:pPr>
            <w:r>
              <w:rPr>
                <w:rFonts w:hint="default" w:ascii="Times New Roman" w:hAnsi="Times New Roman" w:cs="Times New Roman"/>
                <w:b/>
                <w:bCs/>
                <w:color w:val="000000" w:themeColor="text1"/>
                <w:sz w:val="20"/>
                <w:szCs w:val="20"/>
                <w:lang w:val="en-US"/>
                <w14:textFill>
                  <w14:solidFill>
                    <w14:schemeClr w14:val="tx1"/>
                  </w14:solidFill>
                </w14:textFill>
              </w:rPr>
              <w:t>Agreement:</w:t>
            </w:r>
          </w:p>
          <w:p w14:paraId="350037A5">
            <w:pPr>
              <w:numPr>
                <w:ilvl w:val="0"/>
                <w:numId w:val="4"/>
              </w:numPr>
              <w:overflowPunct w:val="0"/>
              <w:autoSpaceDE w:val="0"/>
              <w:autoSpaceDN w:val="0"/>
              <w:adjustRightInd w:val="0"/>
              <w:snapToGrid w:val="0"/>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rPr>
              <w:t>Except for periodic MR:</w:t>
            </w:r>
          </w:p>
          <w:p w14:paraId="64637933">
            <w:pPr>
              <w:numPr>
                <w:ilvl w:val="1"/>
                <w:numId w:val="4"/>
              </w:numPr>
              <w:overflowPunct w:val="0"/>
              <w:autoSpaceDE w:val="0"/>
              <w:autoSpaceDN w:val="0"/>
              <w:adjustRightInd w:val="0"/>
              <w:snapToGrid w:val="0"/>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 xml:space="preserve">Option 1: </w:t>
            </w:r>
            <w:r>
              <w:rPr>
                <w:rFonts w:hint="default" w:ascii="Times New Roman" w:hAnsi="Times New Roman" w:cs="Times New Roman"/>
                <w:sz w:val="20"/>
                <w:szCs w:val="20"/>
                <w:lang w:val="en-US"/>
              </w:rPr>
              <w:t>The event triggered measurement reporting delay shall be no larger than the maximum L1-RSRP measurement period on the cells corresponding to the event.</w:t>
            </w:r>
          </w:p>
          <w:p w14:paraId="572D8593">
            <w:pPr>
              <w:numPr>
                <w:ilvl w:val="2"/>
                <w:numId w:val="4"/>
              </w:numPr>
              <w:overflowPunct w:val="0"/>
              <w:autoSpaceDE w:val="0"/>
              <w:autoSpaceDN w:val="0"/>
              <w:adjustRightInd w:val="0"/>
              <w:snapToGrid w:val="0"/>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measurement period on the LTM candidate cells is based on the Rel-18 requirement, with the assumption of Treport is 0.</w:t>
            </w:r>
          </w:p>
          <w:p w14:paraId="086A2F66">
            <w:pPr>
              <w:numPr>
                <w:ilvl w:val="1"/>
                <w:numId w:val="4"/>
              </w:numPr>
              <w:overflowPunct w:val="0"/>
              <w:autoSpaceDE w:val="0"/>
              <w:autoSpaceDN w:val="0"/>
              <w:adjustRightInd w:val="0"/>
              <w:snapToGrid w:val="0"/>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 xml:space="preserve">Option 2: </w:t>
            </w:r>
            <w:r>
              <w:rPr>
                <w:rFonts w:hint="default" w:ascii="Times New Roman" w:hAnsi="Times New Roman" w:cs="Times New Roman"/>
                <w:sz w:val="20"/>
                <w:szCs w:val="20"/>
                <w:lang w:val="en-US"/>
              </w:rPr>
              <w:t xml:space="preserve">The event triggered measurement reporting delay shall be no larger than the L1-RSRP measurement period corresponding to the Cell(s) </w:t>
            </w:r>
            <w:r>
              <w:rPr>
                <w:rFonts w:hint="default" w:ascii="Times New Roman" w:hAnsi="Times New Roman" w:cs="Times New Roman"/>
                <w:bCs/>
                <w:sz w:val="20"/>
                <w:szCs w:val="20"/>
                <w:lang w:val="en-US" w:eastAsia="zh-CN"/>
              </w:rPr>
              <w:t xml:space="preserve">which triggers the event </w:t>
            </w:r>
            <w:r>
              <w:rPr>
                <w:rFonts w:hint="default" w:ascii="Times New Roman" w:hAnsi="Times New Roman" w:cs="Times New Roman"/>
                <w:sz w:val="20"/>
                <w:szCs w:val="20"/>
                <w:lang w:val="en-US"/>
              </w:rPr>
              <w:t xml:space="preserve">on the cells corresponding to the event. </w:t>
            </w:r>
          </w:p>
          <w:p w14:paraId="6CA90B1B">
            <w:pPr>
              <w:numPr>
                <w:ilvl w:val="2"/>
                <w:numId w:val="4"/>
              </w:numPr>
              <w:overflowPunct w:val="0"/>
              <w:autoSpaceDE w:val="0"/>
              <w:autoSpaceDN w:val="0"/>
              <w:adjustRightInd w:val="0"/>
              <w:snapToGrid w:val="0"/>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measurement period on the LTM candidate cells is based on the Rel-18 requirement, with the assumption of Treport is 0.</w:t>
            </w:r>
          </w:p>
          <w:p w14:paraId="2C1C0DB6">
            <w:pPr>
              <w:numPr>
                <w:ilvl w:val="0"/>
                <w:numId w:val="4"/>
              </w:numPr>
              <w:overflowPunct w:val="0"/>
              <w:autoSpaceDE w:val="0"/>
              <w:autoSpaceDN w:val="0"/>
              <w:adjustRightInd w:val="0"/>
              <w:snapToGrid w:val="0"/>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periodic MR:</w:t>
            </w:r>
          </w:p>
          <w:p w14:paraId="4B46BF2E">
            <w:pPr>
              <w:numPr>
                <w:ilvl w:val="1"/>
                <w:numId w:val="4"/>
              </w:numPr>
              <w:overflowPunct w:val="0"/>
              <w:autoSpaceDE w:val="0"/>
              <w:autoSpaceDN w:val="0"/>
              <w:adjustRightInd w:val="0"/>
              <w:snapToGrid w:val="0"/>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 xml:space="preserve">Option 1: </w:t>
            </w:r>
            <w:r>
              <w:rPr>
                <w:rFonts w:hint="default" w:ascii="Times New Roman" w:hAnsi="Times New Roman" w:cs="Times New Roman"/>
                <w:sz w:val="20"/>
                <w:szCs w:val="20"/>
                <w:lang w:val="en-US"/>
              </w:rPr>
              <w:t>For the first report after condition is met, the event triggered measurement reporting delay shall be no larger than the maximum L1-RSRP measurement period on the cells corresponding to the event.</w:t>
            </w:r>
          </w:p>
          <w:p w14:paraId="74212D29">
            <w:pPr>
              <w:numPr>
                <w:ilvl w:val="2"/>
                <w:numId w:val="4"/>
              </w:numPr>
              <w:overflowPunct w:val="0"/>
              <w:autoSpaceDE w:val="0"/>
              <w:autoSpaceDN w:val="0"/>
              <w:adjustRightInd w:val="0"/>
              <w:snapToGrid w:val="0"/>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 xml:space="preserve">RAN4 define delay requirement for the </w:t>
            </w:r>
            <w:r>
              <w:rPr>
                <w:rFonts w:hint="default" w:ascii="Times New Roman" w:hAnsi="Times New Roman" w:cs="Times New Roman"/>
                <w:sz w:val="20"/>
                <w:szCs w:val="20"/>
                <w:lang w:val="en-US"/>
              </w:rPr>
              <w:t xml:space="preserve">first report after condition is met. After that, UE follow the network configuration on the reporting interval. </w:t>
            </w:r>
            <w:r>
              <w:rPr>
                <w:rFonts w:hint="default" w:ascii="Times New Roman" w:hAnsi="Times New Roman" w:cs="Times New Roman"/>
                <w:sz w:val="20"/>
                <w:szCs w:val="20"/>
                <w:lang w:val="en-US" w:eastAsia="zh-CN"/>
              </w:rPr>
              <w:t>FFS how to capture this agreement into the CR.</w:t>
            </w:r>
          </w:p>
          <w:p w14:paraId="37CE7BDA">
            <w:pPr>
              <w:numPr>
                <w:ilvl w:val="1"/>
                <w:numId w:val="4"/>
              </w:numPr>
              <w:overflowPunct w:val="0"/>
              <w:autoSpaceDE w:val="0"/>
              <w:autoSpaceDN w:val="0"/>
              <w:adjustRightInd w:val="0"/>
              <w:snapToGrid w:val="0"/>
              <w:spacing w:after="120"/>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 xml:space="preserve">Option 2: </w:t>
            </w:r>
            <w:r>
              <w:rPr>
                <w:rFonts w:hint="default" w:ascii="Times New Roman" w:hAnsi="Times New Roman" w:cs="Times New Roman"/>
                <w:sz w:val="20"/>
                <w:szCs w:val="20"/>
                <w:lang w:val="en-US"/>
              </w:rPr>
              <w:t xml:space="preserve">For the first report after condition is met, the event triggered measurement reporting delay shall be no larger than the L1-RSRP measurement period corresponding to the Cell(s) </w:t>
            </w:r>
            <w:r>
              <w:rPr>
                <w:rFonts w:hint="default" w:ascii="Times New Roman" w:hAnsi="Times New Roman" w:cs="Times New Roman"/>
                <w:bCs/>
                <w:sz w:val="20"/>
                <w:szCs w:val="20"/>
                <w:lang w:val="en-US" w:eastAsia="zh-CN"/>
              </w:rPr>
              <w:t xml:space="preserve">which triggers the event </w:t>
            </w:r>
            <w:r>
              <w:rPr>
                <w:rFonts w:hint="default" w:ascii="Times New Roman" w:hAnsi="Times New Roman" w:cs="Times New Roman"/>
                <w:sz w:val="20"/>
                <w:szCs w:val="20"/>
                <w:lang w:val="en-US"/>
              </w:rPr>
              <w:t>on the cells corresponding to the event.</w:t>
            </w:r>
          </w:p>
          <w:p w14:paraId="19697AFB">
            <w:pPr>
              <w:numPr>
                <w:ilvl w:val="2"/>
                <w:numId w:val="4"/>
              </w:numPr>
              <w:overflowPunct w:val="0"/>
              <w:autoSpaceDE w:val="0"/>
              <w:autoSpaceDN w:val="0"/>
              <w:adjustRightInd w:val="0"/>
              <w:snapToGrid w:val="0"/>
              <w:spacing w:after="12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 xml:space="preserve">RAN4 define delay requirement for the </w:t>
            </w:r>
            <w:r>
              <w:rPr>
                <w:rFonts w:hint="default" w:ascii="Times New Roman" w:hAnsi="Times New Roman" w:cs="Times New Roman"/>
                <w:sz w:val="20"/>
                <w:szCs w:val="20"/>
                <w:lang w:val="en-US"/>
              </w:rPr>
              <w:t xml:space="preserve">first report after condition is met. After that, UE follow the network configuration on the reporting interval. </w:t>
            </w:r>
            <w:r>
              <w:rPr>
                <w:rFonts w:hint="default" w:ascii="Times New Roman" w:hAnsi="Times New Roman" w:cs="Times New Roman"/>
                <w:sz w:val="20"/>
                <w:szCs w:val="20"/>
                <w:lang w:val="en-US" w:eastAsia="zh-CN"/>
              </w:rPr>
              <w:t>FFS how to capture this agreement into the CR.</w:t>
            </w:r>
          </w:p>
        </w:tc>
      </w:tr>
    </w:tbl>
    <w:p w14:paraId="30426C0A">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69A90BE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the previous discussion, one of the issue is how to handle the case that measurement period of the cells corresponding to the event are different, i.e. RS periodicity for candidate cell and serving cell are different. In this case, it is possible that the report is triggered by old measurement results of the cell which have longer RS period. This issue also exists in legacy L3 measurement report, no explicit clarification are made. We do not have strong view on whether to follow similar way as legacy L3 measurement report or not. But it would be better that we can make it clear in L1 measurement report.</w:t>
      </w:r>
    </w:p>
    <w:p w14:paraId="2792113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Following LTM events based on beam specific quality of serving cell and candidate cells are supported as the L1 LTM measurement events. </w:t>
      </w:r>
    </w:p>
    <w:p w14:paraId="554A6C46">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LTM2: Beam of serving cell becomes worse than absolute threshold</w:t>
      </w:r>
    </w:p>
    <w:p w14:paraId="3954ACC6">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LTM3: Beam of candidate cell becomes amount of offset better than beam of serving cell</w:t>
      </w:r>
    </w:p>
    <w:p w14:paraId="20417748">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LTM4: Beam of candidate cell becomes better than absolute threshold</w:t>
      </w:r>
    </w:p>
    <w:p w14:paraId="533C79E7">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LTM5: Beam of serving cell becomes worse than absolute threshold1 AND Beam of candidate cell becomes better than another absolute threshold2.</w:t>
      </w:r>
    </w:p>
    <w:p w14:paraId="096BFF7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event LTM3 and LTM5, to aviod that old measurement results are used for comparison for several times, it is better to clarify that event triggered measurement reporting delay shall be no larger than the maximum L1-RSRP measurement period corresponding on the Cell(s) which triggers the event. For event LTM2 and LTM4, considering that only one cell is involved in the event, it is straightforward that event triggered measurement reporting delay shall be no larger than the L1-RSRP measurement period corresponding on the Cell(s) which triggers the event. However, to aligned with event LTM3 and LTM5, it is also OK to use the wording maximum L1-RSRP measurement period for event LTM2 and LTM4, since both are the same. With above consideration, for all the LTM events, it is proposed that the event triggered measurement reporting delay shall be no larger than the maximum L1-RSRP measurement period on the cells corresponding to the event.    </w:t>
      </w:r>
    </w:p>
    <w:p w14:paraId="46AF310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for whether the value of T</w:t>
      </w:r>
      <w:r>
        <w:rPr>
          <w:rFonts w:hint="default" w:ascii="Times New Roman" w:hAnsi="Times New Roman" w:cs="Times New Roman"/>
          <w:sz w:val="20"/>
          <w:szCs w:val="20"/>
          <w:lang w:val="en-US"/>
        </w:rPr>
        <w:t>report</w:t>
      </w:r>
      <w:r>
        <w:rPr>
          <w:rFonts w:hint="eastAsia" w:ascii="Times New Roman" w:hAnsi="Times New Roman" w:cs="Times New Roman"/>
          <w:sz w:val="20"/>
          <w:szCs w:val="20"/>
          <w:lang w:val="en-US" w:eastAsia="zh-CN"/>
        </w:rPr>
        <w:t xml:space="preserve"> can be zero or not, this issue also exists for legacy L1 measurement reporting. According to legacy spec, Treport is configured periodicity for reporting. It is straightforward that T</w:t>
      </w:r>
      <w:r>
        <w:rPr>
          <w:rFonts w:hint="default" w:ascii="Times New Roman" w:hAnsi="Times New Roman" w:cs="Times New Roman"/>
          <w:sz w:val="20"/>
          <w:szCs w:val="20"/>
          <w:lang w:val="en-US"/>
        </w:rPr>
        <w:t>report</w:t>
      </w:r>
      <w:r>
        <w:rPr>
          <w:rFonts w:hint="eastAsia" w:ascii="Times New Roman" w:hAnsi="Times New Roman" w:cs="Times New Roman"/>
          <w:sz w:val="20"/>
          <w:szCs w:val="20"/>
          <w:lang w:val="en-US" w:eastAsia="zh-CN"/>
        </w:rPr>
        <w:t xml:space="preserve"> is zero for non-periodic MR since there is no periodicity configuration.</w:t>
      </w:r>
    </w:p>
    <w:p w14:paraId="125D098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Proposal 1: it is proposed that t</w:t>
      </w:r>
      <w:r>
        <w:rPr>
          <w:rFonts w:hint="default" w:ascii="Times New Roman" w:hAnsi="Times New Roman" w:cs="Times New Roman"/>
          <w:b/>
          <w:bCs/>
          <w:i/>
          <w:iCs/>
          <w:sz w:val="20"/>
          <w:szCs w:val="20"/>
          <w:lang w:val="en-US"/>
        </w:rPr>
        <w:t>he event triggered measurement reporting delay shall be no larger than the maximum L1-RSRP measurement period on the cells corresponding to the event.</w:t>
      </w:r>
      <w:r>
        <w:rPr>
          <w:rFonts w:hint="default" w:ascii="Times New Roman" w:hAnsi="Times New Roman" w:cs="Times New Roman"/>
          <w:b/>
          <w:bCs/>
          <w:i/>
          <w:iCs/>
          <w:sz w:val="20"/>
          <w:szCs w:val="20"/>
          <w:lang w:val="en-US" w:eastAsia="zh-CN"/>
        </w:rPr>
        <w:t xml:space="preserve">  </w:t>
      </w:r>
    </w:p>
    <w:p w14:paraId="77F2292D">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Treport is configured periodicity for reporting for periodic MR; </w:t>
      </w:r>
    </w:p>
    <w:p w14:paraId="647119C0">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Treport is zero for non-periodic MR.</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44A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03B91B2">
            <w:pPr>
              <w:pStyle w:val="5"/>
              <w:numPr>
                <w:ilvl w:val="0"/>
                <w:numId w:val="0"/>
              </w:numPr>
              <w:tabs>
                <w:tab w:val="left" w:pos="432"/>
                <w:tab w:val="clear" w:pos="864"/>
              </w:tabs>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Issue 2-4: whether to introduce/update requirements for reporting criteria per measurement category</w:t>
            </w:r>
          </w:p>
          <w:p w14:paraId="62F5887D">
            <w:pPr>
              <w:spacing w:after="120"/>
              <w:rPr>
                <w:rFonts w:hint="default" w:ascii="Times New Roman" w:hAnsi="Times New Roman" w:cs="Times New Roman"/>
                <w:b/>
                <w:bCs/>
                <w:color w:val="000000" w:themeColor="text1"/>
                <w:sz w:val="20"/>
                <w:szCs w:val="20"/>
                <w:highlight w:val="none"/>
                <w:lang w:val="en-US"/>
                <w14:textFill>
                  <w14:solidFill>
                    <w14:schemeClr w14:val="tx1"/>
                  </w14:solidFill>
                </w14:textFill>
              </w:rPr>
            </w:pPr>
            <w:r>
              <w:rPr>
                <w:rFonts w:hint="default" w:ascii="Times New Roman" w:hAnsi="Times New Roman" w:cs="Times New Roman"/>
                <w:b/>
                <w:bCs/>
                <w:color w:val="000000" w:themeColor="text1"/>
                <w:sz w:val="20"/>
                <w:szCs w:val="20"/>
                <w:highlight w:val="none"/>
                <w:lang w:val="en-US"/>
                <w14:textFill>
                  <w14:solidFill>
                    <w14:schemeClr w14:val="tx1"/>
                  </w14:solidFill>
                </w14:textFill>
              </w:rPr>
              <w:t>Candidate options:</w:t>
            </w:r>
          </w:p>
          <w:p w14:paraId="00E94E3E">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1: Yes (Xiaomi, CMCC, CATT, MTK, ZTE, OPPO, CTC, E///)</w:t>
            </w:r>
          </w:p>
          <w:p w14:paraId="116B53B4">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Option 1a: </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RAN4 to update intra-frequency and inter-frequency measurement reporting criteria requirements for SSB and CSI-RS based L1-RSRP with the same E</w:t>
            </w:r>
            <w:r>
              <w:rPr>
                <w:rFonts w:hint="default" w:ascii="Times New Roman" w:hAnsi="Times New Roman" w:eastAsia="宋体" w:cs="Times New Roman"/>
                <w:bCs/>
                <w:color w:val="000000" w:themeColor="text1"/>
                <w:sz w:val="20"/>
                <w:szCs w:val="20"/>
                <w:highlight w:val="none"/>
                <w:vertAlign w:val="subscript"/>
                <w:lang w:val="en-US"/>
                <w14:textFill>
                  <w14:solidFill>
                    <w14:schemeClr w14:val="tx1"/>
                  </w14:solidFill>
                </w14:textFill>
              </w:rPr>
              <w:t xml:space="preserve">cat. </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(OPPO)</w:t>
            </w:r>
          </w:p>
          <w:p w14:paraId="5D76D630">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1b: Number of supported L1 events is to be added on top of the currently supported L3 events. Details FFS. (Nokia)</w:t>
            </w:r>
          </w:p>
          <w:p w14:paraId="3303E4D0">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Option 2: </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Open to let RAN1 discuss the number of events supported by UE at first. (MTK)</w:t>
            </w:r>
          </w:p>
          <w:p w14:paraId="47A08899">
            <w:pPr>
              <w:pStyle w:val="14"/>
              <w:numPr>
                <w:ilvl w:val="0"/>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 xml:space="preserve">Option 2a: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RAN4 to align common understanding that the existing number of reporting criteria per category is defined for L3 measurement and reporting only. For L1 measurements, the number of events to be supported by UE shall be discussed in RAN1 first. (vivo)</w:t>
            </w:r>
          </w:p>
        </w:tc>
      </w:tr>
    </w:tbl>
    <w:p w14:paraId="21A987A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0E2B7007">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For legacy event triggered L3 measurement reporting, the capabilities for support of event triggering reporting criteria are defined (section 9.1.4, TS38.133). Similarly, for Rel-19 event triggered L1 measurement reporting, it is necessary to define the capability. According to the discussion in last meeting, some companies mentioned that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the number of events to be supported by UE shall be discussed in RAN1 first.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We do not have strong view. But at least according to our knowledge, RAN1 have not discussed this. Considering that reporting criteria for L3 are specified in RAN4, it is preferred to define the reporting criteria for L1 in RAN4.</w:t>
      </w:r>
    </w:p>
    <w:p w14:paraId="566AD47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Proposal 2: it is proposed to define </w:t>
      </w:r>
      <w:r>
        <w:rPr>
          <w:rFonts w:hint="eastAsia" w:ascii="Times New Roman" w:hAnsi="Times New Roman" w:cs="Times New Roman"/>
          <w:b/>
          <w:bCs/>
          <w:i/>
          <w:iCs/>
          <w:sz w:val="20"/>
          <w:szCs w:val="20"/>
          <w:lang w:val="en-US" w:eastAsia="zh-CN"/>
        </w:rPr>
        <w:t>capabilities for support of event triggering L1 measurement reporting.</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443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70CE78A">
            <w:pPr>
              <w:pStyle w:val="5"/>
              <w:numPr>
                <w:ilvl w:val="0"/>
                <w:numId w:val="0"/>
              </w:numPr>
              <w:tabs>
                <w:tab w:val="left" w:pos="432"/>
                <w:tab w:val="clear" w:pos="864"/>
              </w:tabs>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Issue 2-5: whether to define a </w:t>
            </w:r>
            <w:r>
              <w:rPr>
                <w:rFonts w:hint="default" w:ascii="Times New Roman" w:hAnsi="Times New Roman" w:cs="Times New Roman"/>
                <w:bCs/>
                <w:color w:val="000000" w:themeColor="text1"/>
                <w:sz w:val="20"/>
                <w:szCs w:val="20"/>
                <w:highlight w:val="none"/>
                <w:lang w:val="en-US"/>
                <w14:textFill>
                  <w14:solidFill>
                    <w14:schemeClr w14:val="tx1"/>
                  </w14:solidFill>
                </w14:textFill>
              </w:rPr>
              <w:t>separate capability for supported number of events triggered L1 measurement reporting</w:t>
            </w:r>
          </w:p>
          <w:p w14:paraId="66CC2D7F">
            <w:pPr>
              <w:spacing w:after="120"/>
              <w:rPr>
                <w:rFonts w:hint="default" w:ascii="Times New Roman" w:hAnsi="Times New Roman" w:cs="Times New Roman"/>
                <w:b/>
                <w:bCs/>
                <w:color w:val="000000" w:themeColor="text1"/>
                <w:sz w:val="20"/>
                <w:szCs w:val="20"/>
                <w:highlight w:val="none"/>
                <w:lang w:val="en-US"/>
                <w14:textFill>
                  <w14:solidFill>
                    <w14:schemeClr w14:val="tx1"/>
                  </w14:solidFill>
                </w14:textFill>
              </w:rPr>
            </w:pPr>
            <w:r>
              <w:rPr>
                <w:rFonts w:hint="default" w:ascii="Times New Roman" w:hAnsi="Times New Roman" w:cs="Times New Roman"/>
                <w:b/>
                <w:bCs/>
                <w:color w:val="000000" w:themeColor="text1"/>
                <w:sz w:val="20"/>
                <w:szCs w:val="20"/>
                <w:highlight w:val="none"/>
                <w:lang w:val="en-US"/>
                <w14:textFill>
                  <w14:solidFill>
                    <w14:schemeClr w14:val="tx1"/>
                  </w14:solidFill>
                </w14:textFill>
              </w:rPr>
              <w:t>Candidate options:</w:t>
            </w:r>
          </w:p>
          <w:p w14:paraId="7567B68B">
            <w:pPr>
              <w:pStyle w:val="14"/>
              <w:numPr>
                <w:ilvl w:val="0"/>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 xml:space="preserve">Option 1: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RAN4 to define a new UE capability for Event Triggering and Reporting Criteria for LTM. </w:t>
            </w: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([Xiaomi?], ZTE, CMCC, CTC)</w:t>
            </w:r>
          </w:p>
          <w:p w14:paraId="325EEE23">
            <w:pPr>
              <w:pStyle w:val="14"/>
              <w:numPr>
                <w:ilvl w:val="0"/>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t>Option 1a: Yes. RAN4 to support a common LTM Ecat capability to be shared between intra- and inter-frequency candidate cells. Ecat capability for LTM L1 measurements includes both PCell event, and candidate cells’ events. The detail number of Ecat is FFS. (E///)</w:t>
            </w:r>
          </w:p>
        </w:tc>
      </w:tr>
    </w:tbl>
    <w:p w14:paraId="772B94CA">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45248C58">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for how to define the capabilities for support of event triggering L1 measurement reporting, in our view, a seperate capability is prefered. It is not a good way to replace or update legacy capability for event triggered L3 measurement reporting. For Rel-18 LTM measurement, the requirements are applied with the condition that the cell is known, which means that L3 measurement need to be configured. And also, network may adjust LTM configuration based on L3 measurement report.</w:t>
      </w:r>
    </w:p>
    <w:p w14:paraId="5EA44759">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to avoid the impact on L3 measurement reporting,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E634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D8A2E6E">
            <w:pPr>
              <w:pStyle w:val="5"/>
              <w:numPr>
                <w:ilvl w:val="0"/>
                <w:numId w:val="0"/>
              </w:numPr>
              <w:tabs>
                <w:tab w:val="left" w:pos="432"/>
                <w:tab w:val="clear" w:pos="864"/>
              </w:tabs>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Issue 2-7: whether and how to coordinate with R19 MIMO</w:t>
            </w:r>
          </w:p>
          <w:p w14:paraId="11EB81E1">
            <w:pPr>
              <w:spacing w:after="120"/>
              <w:rPr>
                <w:rFonts w:hint="default" w:ascii="Times New Roman" w:hAnsi="Times New Roman" w:cs="Times New Roman"/>
                <w:b/>
                <w:bCs/>
                <w:color w:val="000000" w:themeColor="text1"/>
                <w:sz w:val="20"/>
                <w:szCs w:val="20"/>
                <w:highlight w:val="none"/>
                <w:lang w:val="en-US"/>
                <w14:textFill>
                  <w14:solidFill>
                    <w14:schemeClr w14:val="tx1"/>
                  </w14:solidFill>
                </w14:textFill>
              </w:rPr>
            </w:pPr>
            <w:r>
              <w:rPr>
                <w:rFonts w:hint="default" w:ascii="Times New Roman" w:hAnsi="Times New Roman" w:cs="Times New Roman"/>
                <w:b/>
                <w:bCs/>
                <w:color w:val="000000" w:themeColor="text1"/>
                <w:sz w:val="20"/>
                <w:szCs w:val="20"/>
                <w:highlight w:val="none"/>
                <w:lang w:val="en-US"/>
                <w14:textFill>
                  <w14:solidFill>
                    <w14:schemeClr w14:val="tx1"/>
                  </w14:solidFill>
                </w14:textFill>
              </w:rPr>
              <w:t>Candidate options:</w:t>
            </w:r>
          </w:p>
          <w:p w14:paraId="643B388E">
            <w:pPr>
              <w:pStyle w:val="14"/>
              <w:numPr>
                <w:ilvl w:val="0"/>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lang w:val="en-US"/>
              </w:rPr>
              <w:t>Option 1: RAN4 shall develop the two features independently given that UE is allowed to only support one of the two features. (Nokia) Optimization such as joint consideration of UE capabilities can be discussed at later stage. (Apple, CMCC, HW, CTC)</w:t>
            </w:r>
          </w:p>
        </w:tc>
      </w:tr>
    </w:tbl>
    <w:p w14:paraId="06B4EFE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25B566F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Event triggered L1 measurement reporting are considered for both Rel-19 MIMO and Rel-19 Mobility. However, considering that Rel-19 MIMO and Rel-19 Mobility are two parallel on-going work item, it is not prefered to mix the discussion.  </w:t>
      </w:r>
    </w:p>
    <w:p w14:paraId="4F5E4AF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bookmarkEnd w:id="6"/>
    <w:bookmarkEnd w:id="7"/>
    <w:p w14:paraId="5187A4B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46578F3">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event triggered L1 measurement reporting. The proposals are:</w:t>
      </w:r>
    </w:p>
    <w:p w14:paraId="6FE5441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Proposal 1: it is proposed that t</w:t>
      </w:r>
      <w:r>
        <w:rPr>
          <w:rFonts w:hint="default" w:ascii="Times New Roman" w:hAnsi="Times New Roman" w:cs="Times New Roman"/>
          <w:b/>
          <w:bCs/>
          <w:i/>
          <w:iCs/>
          <w:sz w:val="20"/>
          <w:szCs w:val="20"/>
          <w:lang w:val="en-US"/>
        </w:rPr>
        <w:t>he event triggered measurement reporting delay shall be no larger than the maximum L1-RSRP measurement period on the cells corresponding to the event.</w:t>
      </w:r>
      <w:r>
        <w:rPr>
          <w:rFonts w:hint="default" w:ascii="Times New Roman" w:hAnsi="Times New Roman" w:cs="Times New Roman"/>
          <w:b/>
          <w:bCs/>
          <w:i/>
          <w:iCs/>
          <w:sz w:val="20"/>
          <w:szCs w:val="20"/>
          <w:lang w:val="en-US" w:eastAsia="zh-CN"/>
        </w:rPr>
        <w:t xml:space="preserve">  </w:t>
      </w:r>
    </w:p>
    <w:p w14:paraId="170577CE">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Treport is configured periodicity for reporting for periodic MR; </w:t>
      </w:r>
    </w:p>
    <w:p w14:paraId="5BB3F4C0">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Treport is zero for non-periodic MR.</w:t>
      </w:r>
    </w:p>
    <w:p w14:paraId="34141BC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Proposal 2: it is proposed to define </w:t>
      </w:r>
      <w:r>
        <w:rPr>
          <w:rFonts w:hint="eastAsia" w:ascii="Times New Roman" w:hAnsi="Times New Roman" w:cs="Times New Roman"/>
          <w:b/>
          <w:bCs/>
          <w:i/>
          <w:iCs/>
          <w:sz w:val="20"/>
          <w:szCs w:val="20"/>
          <w:lang w:val="en-US" w:eastAsia="zh-CN"/>
        </w:rPr>
        <w:t>capabilities for support of event triggering L1 measurement reporting.</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p w14:paraId="186DA201">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to avoid the impact on L3 measurement reporting,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42F8BA3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p w14:paraId="5548EF6E">
      <w:pPr>
        <w:tabs>
          <w:tab w:val="left" w:pos="1134"/>
        </w:tabs>
        <w:spacing w:after="180" w:line="240" w:lineRule="exact"/>
        <w:rPr>
          <w:rFonts w:hint="eastAsia" w:ascii="Times New Roman" w:hAnsi="Times New Roman"/>
          <w:sz w:val="20"/>
          <w:szCs w:val="20"/>
          <w:highlight w:val="none"/>
        </w:rPr>
      </w:pPr>
    </w:p>
    <w:p w14:paraId="6F7B87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14CA13B">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038FF42">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 xml:space="preserve">Revised Work Item: NR mobility enhancements Phase 4 </w:t>
      </w:r>
    </w:p>
    <w:p w14:paraId="53BBFF74">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R4-2502601</w:t>
      </w:r>
      <w:r>
        <w:rPr>
          <w:rFonts w:hint="eastAsia" w:ascii="Times" w:hAnsi="Times" w:eastAsia="宋体"/>
          <w:b w:val="0"/>
          <w:sz w:val="20"/>
          <w:lang w:val="en-US" w:eastAsia="zh-CN"/>
        </w:rPr>
        <w:t>, WF on RRM requirements for NR_Mob_Ph4_Part1, Apple</w:t>
      </w:r>
    </w:p>
    <w:p w14:paraId="41FA408E">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R4-2420101</w:t>
      </w:r>
      <w:r>
        <w:rPr>
          <w:rFonts w:hint="eastAsia" w:ascii="Times" w:hAnsi="Times" w:eastAsia="宋体"/>
          <w:b w:val="0"/>
          <w:sz w:val="20"/>
          <w:lang w:val="en-US" w:eastAsia="zh-CN"/>
        </w:rPr>
        <w:t>, WF on RRM requirements for NR_Mob_Ph4_Part1, Apple</w:t>
      </w:r>
    </w:p>
    <w:p w14:paraId="73D8EA6D">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2FFCE10F">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518264ED">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45D6D25B">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45121B7F">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7A46E657">
      <w:pPr>
        <w:pStyle w:val="18"/>
        <w:framePr w:wrap="auto" w:vAnchor="margin" w:hAnchor="text" w:yAlign="inline"/>
        <w:ind w:right="400"/>
        <w:jc w:val="both"/>
        <w:rPr>
          <w:rFonts w:hint="eastAsia" w:ascii="Times" w:hAnsi="Times" w:eastAsia="宋体"/>
          <w:b w:val="0"/>
          <w:sz w:val="20"/>
          <w:lang w:val="en-US" w:eastAsia="zh-CN"/>
        </w:rPr>
      </w:pPr>
    </w:p>
    <w:p w14:paraId="6138FC7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C35004"/>
    <w:multiLevelType w:val="singleLevel"/>
    <w:tmpl w:val="DCC35004"/>
    <w:lvl w:ilvl="0" w:tentative="0">
      <w:start w:val="1"/>
      <w:numFmt w:val="bullet"/>
      <w:lvlText w:val=""/>
      <w:lvlJc w:val="left"/>
      <w:pPr>
        <w:ind w:left="420" w:hanging="420"/>
      </w:pPr>
      <w:rPr>
        <w:rFonts w:hint="default" w:ascii="Wingdings" w:hAnsi="Wingdings"/>
      </w:rPr>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F1D10"/>
    <w:rsid w:val="03C54999"/>
    <w:rsid w:val="07195F0C"/>
    <w:rsid w:val="0DED4141"/>
    <w:rsid w:val="1097653D"/>
    <w:rsid w:val="114C53CF"/>
    <w:rsid w:val="17CF1E32"/>
    <w:rsid w:val="1D245D5D"/>
    <w:rsid w:val="20716758"/>
    <w:rsid w:val="22EF5A05"/>
    <w:rsid w:val="23555288"/>
    <w:rsid w:val="23A45F21"/>
    <w:rsid w:val="2B6A5B72"/>
    <w:rsid w:val="2C5A7F66"/>
    <w:rsid w:val="30C469A5"/>
    <w:rsid w:val="3A094EC7"/>
    <w:rsid w:val="3B78668C"/>
    <w:rsid w:val="3C8464D4"/>
    <w:rsid w:val="409969B6"/>
    <w:rsid w:val="443F297C"/>
    <w:rsid w:val="4585185F"/>
    <w:rsid w:val="473507D2"/>
    <w:rsid w:val="4ACD5D3A"/>
    <w:rsid w:val="4D34553A"/>
    <w:rsid w:val="54C2149E"/>
    <w:rsid w:val="56551307"/>
    <w:rsid w:val="5A6C76F1"/>
    <w:rsid w:val="5D2F6C90"/>
    <w:rsid w:val="62B40F62"/>
    <w:rsid w:val="63A65A71"/>
    <w:rsid w:val="63FF12A3"/>
    <w:rsid w:val="6514284A"/>
    <w:rsid w:val="66B81714"/>
    <w:rsid w:val="67360C57"/>
    <w:rsid w:val="6DE36C58"/>
    <w:rsid w:val="6F8A1747"/>
    <w:rsid w:val="72901CD2"/>
    <w:rsid w:val="7523162A"/>
    <w:rsid w:val="7B09796A"/>
    <w:rsid w:val="7C401BE6"/>
    <w:rsid w:val="7FC0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2025-03-28T07:28:30Z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